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AD186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5308141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882C7A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3144FF">
        <w:rPr>
          <w:rFonts w:asciiTheme="minorHAnsi" w:hAnsiTheme="minorHAnsi" w:cstheme="minorHAnsi"/>
          <w:sz w:val="24"/>
        </w:rPr>
        <w:t>3</w:t>
      </w:r>
      <w:r w:rsidR="006C6F53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3B23410B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4F2200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4F2200">
        <w:rPr>
          <w:rFonts w:asciiTheme="minorHAnsi" w:hAnsiTheme="minorHAnsi" w:cstheme="minorHAnsi"/>
          <w:sz w:val="24"/>
        </w:rPr>
        <w:t>patrolamento</w:t>
      </w:r>
      <w:proofErr w:type="spellEnd"/>
      <w:r w:rsidR="004F2200">
        <w:rPr>
          <w:rFonts w:asciiTheme="minorHAnsi" w:hAnsiTheme="minorHAnsi" w:cstheme="minorHAnsi"/>
          <w:sz w:val="24"/>
        </w:rPr>
        <w:t xml:space="preserve"> das estradas vicinais das comunidades Barreiro Vermelho, Região Chacareiros</w:t>
      </w:r>
      <w:r w:rsidR="009432C3">
        <w:rPr>
          <w:rFonts w:asciiTheme="minorHAnsi" w:hAnsiTheme="minorHAnsi" w:cstheme="minorHAnsi"/>
          <w:sz w:val="24"/>
        </w:rPr>
        <w:t xml:space="preserve">, tendo mais de 100 (cem) famílias residentes na região. </w:t>
      </w:r>
      <w:r w:rsidR="00F36EEC">
        <w:rPr>
          <w:rFonts w:asciiTheme="minorHAnsi" w:hAnsiTheme="minorHAnsi" w:cstheme="minorHAnsi"/>
          <w:sz w:val="24"/>
        </w:rPr>
        <w:t xml:space="preserve">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2010F3A4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>visa facilitar o trafego de veículos bem como tornar o acesso e o escoamento dos produtos comercializados pelos pequenos produtores que dependem da estrada para ter acesso a outros municípios.</w:t>
      </w:r>
      <w:bookmarkStart w:id="0" w:name="_GoBack"/>
      <w:bookmarkEnd w:id="0"/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56135217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02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B845C-EC49-44EB-AF62-6ADC56138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2022-02-02T14:28:00Z</cp:lastPrinted>
  <dcterms:created xsi:type="dcterms:W3CDTF">2022-02-02T14:56:00Z</dcterms:created>
  <dcterms:modified xsi:type="dcterms:W3CDTF">2022-02-02T14:56:00Z</dcterms:modified>
</cp:coreProperties>
</file>