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53165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709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035AE4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16CA8">
        <w:rPr>
          <w:rFonts w:asciiTheme="minorHAnsi" w:hAnsiTheme="minorHAnsi" w:cstheme="minorHAnsi"/>
          <w:sz w:val="24"/>
        </w:rPr>
        <w:t>5</w:t>
      </w:r>
      <w:r w:rsidR="00D07FB5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4A3A3309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D07FB5">
        <w:rPr>
          <w:rFonts w:asciiTheme="minorHAnsi" w:hAnsiTheme="minorHAnsi" w:cstheme="minorHAnsi"/>
          <w:sz w:val="24"/>
        </w:rPr>
        <w:t xml:space="preserve">a construção de uma quadra </w:t>
      </w:r>
      <w:r w:rsidR="00D07FB5" w:rsidRPr="00D07FB5">
        <w:rPr>
          <w:rFonts w:asciiTheme="minorHAnsi" w:hAnsiTheme="minorHAnsi" w:cstheme="minorHAnsi"/>
          <w:sz w:val="24"/>
        </w:rPr>
        <w:t>poliesportiva</w:t>
      </w:r>
      <w:r w:rsidR="00D07FB5">
        <w:rPr>
          <w:rFonts w:asciiTheme="minorHAnsi" w:hAnsiTheme="minorHAnsi" w:cstheme="minorHAnsi"/>
          <w:sz w:val="24"/>
        </w:rPr>
        <w:t xml:space="preserve"> na comunidade Jatobá, Distrito do </w:t>
      </w:r>
      <w:proofErr w:type="spellStart"/>
      <w:r w:rsidR="00D07FB5">
        <w:rPr>
          <w:rFonts w:asciiTheme="minorHAnsi" w:hAnsiTheme="minorHAnsi" w:cstheme="minorHAnsi"/>
          <w:sz w:val="24"/>
        </w:rPr>
        <w:t>Bauxi</w:t>
      </w:r>
      <w:proofErr w:type="spellEnd"/>
      <w:r w:rsidR="00D07FB5">
        <w:rPr>
          <w:rFonts w:asciiTheme="minorHAnsi" w:hAnsiTheme="minorHAnsi" w:cstheme="minorHAnsi"/>
          <w:sz w:val="24"/>
        </w:rPr>
        <w:t>, em Rosário Oeste-MT.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</w:t>
      </w:r>
      <w:bookmarkStart w:id="1" w:name="_GoBack"/>
      <w:bookmarkEnd w:id="1"/>
      <w:r w:rsidR="00BB3D39" w:rsidRPr="008F7834">
        <w:rPr>
          <w:rFonts w:cstheme="minorHAnsi"/>
          <w:sz w:val="24"/>
          <w:szCs w:val="24"/>
        </w:rPr>
        <w:t>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2B4388BA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53165E" w:rsidRPr="0053165E">
        <w:rPr>
          <w:rFonts w:cstheme="minorHAnsi"/>
          <w:color w:val="202124"/>
          <w:sz w:val="24"/>
          <w:szCs w:val="24"/>
          <w:shd w:val="clear" w:color="auto" w:fill="FFFFFF"/>
        </w:rPr>
        <w:t>As quadras poliesportivas </w:t>
      </w:r>
      <w:r w:rsidR="0053165E" w:rsidRPr="0053165E">
        <w:rPr>
          <w:rFonts w:cstheme="minorHAnsi"/>
          <w:bCs/>
          <w:color w:val="202124"/>
          <w:sz w:val="24"/>
          <w:szCs w:val="24"/>
          <w:shd w:val="clear" w:color="auto" w:fill="FFFFFF"/>
        </w:rPr>
        <w:t>são espaços reservados para a prática diferentes de modalidades de esporte, como vôlei, futebol, tênis, basquete etc</w:t>
      </w:r>
      <w:r w:rsidR="0053165E" w:rsidRPr="0053165E">
        <w:rPr>
          <w:rFonts w:cstheme="minorHAnsi"/>
          <w:color w:val="202124"/>
          <w:sz w:val="24"/>
          <w:szCs w:val="24"/>
          <w:shd w:val="clear" w:color="auto" w:fill="FFFFFF"/>
        </w:rPr>
        <w:t>. Entre as características presentes nesse tipo de quadra, está a demarcação na superfície com desenho de cada modalidade esportiva que o local suportará.</w:t>
      </w:r>
      <w:r w:rsidR="00BB3D39" w:rsidRPr="0053165E">
        <w:rPr>
          <w:rFonts w:cstheme="minorHAnsi"/>
          <w:sz w:val="24"/>
          <w:szCs w:val="24"/>
        </w:rPr>
        <w:tab/>
      </w:r>
      <w:r w:rsidR="00BB3D39" w:rsidRPr="0053165E">
        <w:rPr>
          <w:rFonts w:cstheme="minorHAnsi"/>
          <w:sz w:val="24"/>
          <w:szCs w:val="24"/>
        </w:rPr>
        <w:tab/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2023-01-18T12:35:00Z</cp:lastPrinted>
  <dcterms:created xsi:type="dcterms:W3CDTF">2023-01-18T12:52:00Z</dcterms:created>
  <dcterms:modified xsi:type="dcterms:W3CDTF">2023-01-18T12:52:00Z</dcterms:modified>
</cp:coreProperties>
</file>