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8C2BD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4745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AD3B5B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8C2BDE">
        <w:rPr>
          <w:rFonts w:asciiTheme="minorHAnsi" w:hAnsiTheme="minorHAnsi" w:cstheme="minorHAnsi"/>
          <w:sz w:val="24"/>
        </w:rPr>
        <w:t>8</w:t>
      </w:r>
      <w:r w:rsidR="00992556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992556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8C2BDE">
        <w:rPr>
          <w:rFonts w:asciiTheme="minorHAnsi" w:hAnsiTheme="minorHAnsi" w:cstheme="minorHAnsi"/>
          <w:sz w:val="24"/>
        </w:rPr>
        <w:t>4</w:t>
      </w:r>
      <w:r w:rsidR="00992556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B669618" w14:textId="7388C125" w:rsidR="006C5FB4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e</w:t>
      </w:r>
      <w:r w:rsidR="00A778AB">
        <w:rPr>
          <w:rFonts w:asciiTheme="minorHAnsi" w:hAnsiTheme="minorHAnsi" w:cstheme="minorHAnsi"/>
          <w:sz w:val="24"/>
        </w:rPr>
        <w:t xml:space="preserve"> manilhamento, nos pontos críticos na região da comunidade Barreiro Vermelho, Correnteza, Raizama de Cima, </w:t>
      </w:r>
      <w:proofErr w:type="spellStart"/>
      <w:r w:rsidR="00AA1586">
        <w:rPr>
          <w:rFonts w:asciiTheme="minorHAnsi" w:hAnsiTheme="minorHAnsi" w:cstheme="minorHAnsi"/>
          <w:sz w:val="24"/>
        </w:rPr>
        <w:t>Pindura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, até Castiçal e Pescaria.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010290A" w14:textId="6FA5F7F1" w:rsidR="00875F01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busca facilitar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estas comunidades, assim auxiliando os pequenos produtores que utilizam as estradas para escoar seus produtos cultivados na região. 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3F8C92E6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C2BDE">
        <w:rPr>
          <w:rFonts w:asciiTheme="minorHAnsi" w:hAnsiTheme="minorHAnsi" w:cstheme="minorHAnsi"/>
          <w:sz w:val="24"/>
        </w:rPr>
        <w:t>14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62A5A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8C2BDE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A1A9B6E" w:rsidR="00234D40" w:rsidRPr="00CD7C97" w:rsidRDefault="00F92869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A5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2BDE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56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2869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6DF13-E524-42D2-BDBC-E045634E3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2021-09-09T11:47:00Z</cp:lastPrinted>
  <dcterms:created xsi:type="dcterms:W3CDTF">2024-01-16T13:06:00Z</dcterms:created>
  <dcterms:modified xsi:type="dcterms:W3CDTF">2024-01-16T13:06:00Z</dcterms:modified>
</cp:coreProperties>
</file>