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276B4" w14:textId="77777777" w:rsidR="006B1D06" w:rsidRPr="00516760" w:rsidRDefault="004222FB" w:rsidP="00A6446C">
      <w:pPr>
        <w:jc w:val="both"/>
        <w:rPr>
          <w:rFonts w:cs="Arial"/>
          <w:b/>
          <w:szCs w:val="24"/>
        </w:rPr>
      </w:pPr>
      <w:r>
        <w:rPr>
          <w:rFonts w:cs="Arial"/>
          <w:b/>
          <w:noProof/>
          <w:szCs w:val="24"/>
          <w:lang w:eastAsia="pt-BR"/>
        </w:rPr>
        <w:object w:dxaOrig="1440" w:dyaOrig="1440" w14:anchorId="686DB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75pt;margin-top:19.95pt;width:441.25pt;height:103.85pt;z-index:251652608">
            <v:imagedata r:id="rId6" o:title=""/>
          </v:shape>
          <o:OLEObject Type="Embed" ProgID="Word.Picture.8" ShapeID="_x0000_s1026" DrawAspect="Content" ObjectID="_1850025401" r:id="rId7"/>
        </w:object>
      </w:r>
    </w:p>
    <w:p w14:paraId="1D70A099" w14:textId="77777777" w:rsidR="00EF4B34" w:rsidRPr="00516760" w:rsidRDefault="00EF4B34" w:rsidP="00A6446C">
      <w:pPr>
        <w:jc w:val="both"/>
        <w:rPr>
          <w:rFonts w:cs="Arial"/>
          <w:b/>
          <w:szCs w:val="24"/>
        </w:rPr>
      </w:pPr>
    </w:p>
    <w:p w14:paraId="04CDD2D2" w14:textId="77777777" w:rsidR="00EF4B34" w:rsidRPr="00516760" w:rsidRDefault="00EF4B34" w:rsidP="00A6446C">
      <w:pPr>
        <w:jc w:val="both"/>
        <w:rPr>
          <w:rFonts w:cs="Arial"/>
          <w:b/>
          <w:szCs w:val="24"/>
        </w:rPr>
      </w:pPr>
    </w:p>
    <w:p w14:paraId="671D6F78" w14:textId="77777777" w:rsidR="00EF4B34" w:rsidRPr="00516760" w:rsidRDefault="00EF4B34" w:rsidP="00A6446C">
      <w:pPr>
        <w:jc w:val="both"/>
        <w:rPr>
          <w:rFonts w:cs="Arial"/>
          <w:b/>
          <w:szCs w:val="24"/>
        </w:rPr>
      </w:pPr>
    </w:p>
    <w:p w14:paraId="6F4A3CBC" w14:textId="77777777" w:rsidR="006B1D06" w:rsidRPr="00516760" w:rsidRDefault="006B1D06" w:rsidP="0004153E">
      <w:pPr>
        <w:rPr>
          <w:rFonts w:cs="Arial"/>
          <w:b/>
          <w:szCs w:val="24"/>
        </w:rPr>
      </w:pPr>
    </w:p>
    <w:p w14:paraId="2AA66D62" w14:textId="79CAB795" w:rsidR="002C1322" w:rsidRDefault="00F54F80" w:rsidP="0094561C">
      <w:pPr>
        <w:keepNext/>
        <w:spacing w:before="120" w:after="160" w:line="240" w:lineRule="auto"/>
      </w:pPr>
      <w:r>
        <w:rPr>
          <w:b/>
        </w:rPr>
        <w:t xml:space="preserve">INDICAÇÃO Nº </w:t>
      </w:r>
      <w:r w:rsidR="004222FB">
        <w:rPr>
          <w:b/>
        </w:rPr>
        <w:t>019</w:t>
      </w:r>
      <w:r>
        <w:rPr>
          <w:b/>
        </w:rPr>
        <w:t>/2026</w:t>
      </w:r>
    </w:p>
    <w:p w14:paraId="4DBF1BD9" w14:textId="77777777" w:rsidR="002C1322" w:rsidRDefault="00F54F80">
      <w:pPr>
        <w:spacing w:after="160"/>
        <w:jc w:val="right"/>
      </w:pPr>
      <w:r>
        <w:t>Rosário Oeste - MT, 02 de setembro de 2026.</w:t>
      </w:r>
    </w:p>
    <w:p w14:paraId="379C261B" w14:textId="77777777" w:rsidR="002C1322" w:rsidRDefault="00F54F80" w:rsidP="0094561C">
      <w:pPr>
        <w:spacing w:after="160"/>
        <w:jc w:val="both"/>
      </w:pPr>
      <w:r>
        <w:rPr>
          <w:b/>
        </w:rPr>
        <w:t>Sugere ao Poder Executivo a edição de Decreto ou Instrução Normativa para regulamentar o fluxo administrativo das emendas parlamentares impositivas, com análise técnica, saneamento, execução, transparência e prestação de contas.</w:t>
      </w:r>
    </w:p>
    <w:p w14:paraId="7C6E9E37" w14:textId="77777777" w:rsidR="002C1322" w:rsidRDefault="00F54F80" w:rsidP="0094561C">
      <w:pPr>
        <w:spacing w:after="120"/>
        <w:jc w:val="both"/>
      </w:pPr>
      <w:r>
        <w:t>Senhor Presidente,</w:t>
      </w:r>
      <w:bookmarkStart w:id="0" w:name="_GoBack"/>
      <w:bookmarkEnd w:id="0"/>
    </w:p>
    <w:p w14:paraId="0B6946FE" w14:textId="77777777" w:rsidR="0094561C" w:rsidRDefault="0094561C" w:rsidP="0094561C">
      <w:pPr>
        <w:spacing w:after="120"/>
        <w:jc w:val="both"/>
      </w:pPr>
    </w:p>
    <w:p w14:paraId="3AB89DF7" w14:textId="77777777" w:rsidR="002C1322" w:rsidRDefault="00F54F80">
      <w:pPr>
        <w:spacing w:after="120"/>
        <w:ind w:firstLine="709"/>
        <w:jc w:val="both"/>
      </w:pPr>
      <w:r>
        <w:t>Nos termos dos arts. 144 e 145 do Regimento Interno, INDICO ao Excelentíssimo Senhor Prefeito Municipal que determine a elaboração e publicação de Decreto ou Instrução Normativa disciplinando, no âmbito do Poder Executivo, os procedimentos administrativos necessários à execução das emendas parlamentares impositivas.</w:t>
      </w:r>
    </w:p>
    <w:p w14:paraId="5790DB7B" w14:textId="77777777" w:rsidR="002C1322" w:rsidRDefault="00F54F80">
      <w:pPr>
        <w:spacing w:after="120"/>
        <w:ind w:firstLine="709"/>
        <w:jc w:val="both"/>
      </w:pPr>
      <w:r>
        <w:t>A regulamentação é necessária para transformar as regras já previstas na Lei Orgânica em fluxo operacional objetivo, com definição de unidade coordenadora, processos, responsáveis, prazos internos, análise de documentação, comunicação de impedimentos, saneamento, execução financeira, transparência e prestação de contas.</w:t>
      </w:r>
    </w:p>
    <w:p w14:paraId="6B40D3D9" w14:textId="77777777" w:rsidR="002C1322" w:rsidRDefault="00F54F80">
      <w:pPr>
        <w:spacing w:after="120"/>
        <w:ind w:firstLine="709"/>
        <w:jc w:val="both"/>
      </w:pPr>
      <w:r>
        <w:t>Anexa-se, como contribuição técnica e sem caráter vinculante, minuta sugerida de Decreto, a ser analisada e adaptada pela Procuradoria, Finanças/Planejamento, Controle Interno e demais unidades competentes do Executivo.</w:t>
      </w:r>
    </w:p>
    <w:p w14:paraId="310C27B1" w14:textId="77777777" w:rsidR="002C1322" w:rsidRDefault="002C1322">
      <w:pPr>
        <w:spacing w:after="0"/>
        <w:jc w:val="both"/>
      </w:pPr>
    </w:p>
    <w:p w14:paraId="3A5B6E85" w14:textId="77777777" w:rsidR="002C1322" w:rsidRDefault="00F54F80">
      <w:pPr>
        <w:spacing w:after="0"/>
        <w:jc w:val="center"/>
      </w:pPr>
      <w:r>
        <w:t>________________________________________</w:t>
      </w:r>
    </w:p>
    <w:p w14:paraId="60ABA727" w14:textId="77777777" w:rsidR="002C1322" w:rsidRDefault="00F54F80">
      <w:pPr>
        <w:spacing w:after="0"/>
        <w:jc w:val="center"/>
      </w:pPr>
      <w:r>
        <w:rPr>
          <w:b/>
        </w:rPr>
        <w:t>SELMA ANZIL</w:t>
      </w:r>
    </w:p>
    <w:p w14:paraId="34385DE8" w14:textId="77777777" w:rsidR="002C1322" w:rsidRDefault="00F54F80">
      <w:pPr>
        <w:spacing w:after="60"/>
        <w:jc w:val="center"/>
      </w:pPr>
      <w:r>
        <w:t>Vereadora - Câmara Municipal de Rosário Oeste/MT</w:t>
      </w:r>
    </w:p>
    <w:p w14:paraId="6EEAD885" w14:textId="77777777" w:rsidR="0094561C" w:rsidRDefault="0094561C">
      <w:pPr>
        <w:spacing w:after="60"/>
        <w:jc w:val="center"/>
      </w:pPr>
    </w:p>
    <w:p w14:paraId="79E20714" w14:textId="77777777" w:rsidR="0094561C" w:rsidRDefault="0094561C">
      <w:pPr>
        <w:spacing w:after="60"/>
        <w:jc w:val="center"/>
      </w:pPr>
    </w:p>
    <w:p w14:paraId="717765D8" w14:textId="77777777" w:rsidR="002C1322" w:rsidRDefault="00F54F80">
      <w:pPr>
        <w:keepNext/>
        <w:spacing w:before="160" w:after="80" w:line="240" w:lineRule="auto"/>
      </w:pPr>
      <w:r>
        <w:rPr>
          <w:b/>
        </w:rPr>
        <w:lastRenderedPageBreak/>
        <w:t>ANEXO - MINUTA SUGERIDA DE DECRETO DO PODER EXECUTIVO</w:t>
      </w:r>
    </w:p>
    <w:p w14:paraId="0C8B0423" w14:textId="77777777" w:rsidR="002C1322" w:rsidRDefault="00F54F80">
      <w:pPr>
        <w:keepNext/>
        <w:spacing w:before="120" w:after="160" w:line="240" w:lineRule="auto"/>
        <w:jc w:val="center"/>
      </w:pPr>
      <w:r>
        <w:rPr>
          <w:b/>
        </w:rPr>
        <w:t>DECRETO Nº ____/2026</w:t>
      </w:r>
    </w:p>
    <w:p w14:paraId="4C2A5F26" w14:textId="77777777" w:rsidR="002C1322" w:rsidRDefault="00F54F80" w:rsidP="0094561C">
      <w:pPr>
        <w:spacing w:after="160"/>
        <w:jc w:val="both"/>
        <w:rPr>
          <w:b/>
        </w:rPr>
      </w:pPr>
      <w:r>
        <w:rPr>
          <w:b/>
        </w:rPr>
        <w:t>Regulamenta os procedimentos administrativos para análise, execução, acompanhamento, transparência e prestação de contas das emendas parlamentares impositivas no âmbito do Poder Executivo do Município de Rosário Oeste - MT.</w:t>
      </w:r>
    </w:p>
    <w:p w14:paraId="16CA790A" w14:textId="77777777" w:rsidR="0094561C" w:rsidRDefault="0094561C" w:rsidP="0094561C">
      <w:pPr>
        <w:spacing w:after="160"/>
        <w:jc w:val="both"/>
      </w:pPr>
    </w:p>
    <w:p w14:paraId="109103A2" w14:textId="77777777" w:rsidR="002C1322" w:rsidRDefault="00F54F80">
      <w:pPr>
        <w:spacing w:after="120"/>
        <w:jc w:val="both"/>
      </w:pPr>
      <w:r>
        <w:t>O PREFEITO MUNICIPAL DE ROSÁRIO OESTE - MT, no uso de suas atribuições legais e considerando o disposto no art. 63, §§ 10 a 16, da Lei Orgânica Municipal, DECRETA:</w:t>
      </w:r>
    </w:p>
    <w:p w14:paraId="264514A0" w14:textId="77777777" w:rsidR="002C1322" w:rsidRDefault="00F54F80">
      <w:pPr>
        <w:spacing w:after="100"/>
        <w:jc w:val="both"/>
      </w:pPr>
      <w:r>
        <w:rPr>
          <w:b/>
        </w:rPr>
        <w:t>Art. 1º</w:t>
      </w:r>
      <w:r>
        <w:t xml:space="preserve"> Este Decreto disciplina o fluxo administrativo das emendas parlamentares impositivas, sem prejuízo das normas orçamentárias, financeiras, de contratação pública, parcerias, controle e prestação de contas.</w:t>
      </w:r>
    </w:p>
    <w:p w14:paraId="43350F7F" w14:textId="77777777" w:rsidR="002C1322" w:rsidRDefault="00F54F80">
      <w:pPr>
        <w:spacing w:after="100"/>
        <w:jc w:val="both"/>
      </w:pPr>
      <w:r>
        <w:rPr>
          <w:b/>
        </w:rPr>
        <w:t>Art. 2º</w:t>
      </w:r>
      <w:r>
        <w:t xml:space="preserve"> A Secretaria responsável pelo planejamento/finanças coordenará o registro central das emendas, sem afastar a competência da unidade orçamentária responsável pela execução do objeto.</w:t>
      </w:r>
    </w:p>
    <w:p w14:paraId="65A05F04" w14:textId="77777777" w:rsidR="002C1322" w:rsidRDefault="00F54F80">
      <w:pPr>
        <w:spacing w:after="100"/>
        <w:jc w:val="both"/>
      </w:pPr>
      <w:r>
        <w:rPr>
          <w:b/>
        </w:rPr>
        <w:t>Art. 3º</w:t>
      </w:r>
      <w:r>
        <w:t xml:space="preserve"> Para cada emenda será mantido processo administrativo ou registro eletrônico individualizado, contendo: autoria, beneficiário, objeto, valor, dotação, unidade responsável, documentos técnicos, atos de contratação/parceria, execução orçamentária e financeira, comunicações e eventual impedimento.</w:t>
      </w:r>
    </w:p>
    <w:p w14:paraId="5469FB29" w14:textId="77777777" w:rsidR="002C1322" w:rsidRDefault="00F54F80">
      <w:pPr>
        <w:spacing w:after="100"/>
        <w:jc w:val="both"/>
      </w:pPr>
      <w:r>
        <w:rPr>
          <w:b/>
        </w:rPr>
        <w:t>Art. 4º</w:t>
      </w:r>
      <w:r>
        <w:t xml:space="preserve"> Recebida a programação, a unidade executora realizará análise preliminar e identificará os documentos necessários à execução. Quando houver pendência do beneficiário, será expedida notificação objetiva para saneamento, sempre que cabível.</w:t>
      </w:r>
    </w:p>
    <w:p w14:paraId="00D54484" w14:textId="77777777" w:rsidR="002C1322" w:rsidRDefault="00F54F80">
      <w:pPr>
        <w:spacing w:after="100"/>
        <w:jc w:val="both"/>
      </w:pPr>
      <w:r>
        <w:rPr>
          <w:b/>
        </w:rPr>
        <w:t>Art. 5º</w:t>
      </w:r>
      <w:r>
        <w:t xml:space="preserve"> As unidades administrativas deverão priorizar a instrução tempestiva dos processos de emendas impositivas, considerando a obrigatoriedade de execução estabelecida na Lei Orgânica e o encerramento do exercício financeiro.</w:t>
      </w:r>
    </w:p>
    <w:p w14:paraId="10B22FA8" w14:textId="77777777" w:rsidR="002C1322" w:rsidRDefault="00F54F80">
      <w:pPr>
        <w:spacing w:after="100"/>
        <w:jc w:val="both"/>
      </w:pPr>
      <w:r>
        <w:rPr>
          <w:b/>
        </w:rPr>
        <w:t>Art. 6º</w:t>
      </w:r>
      <w:r>
        <w:t xml:space="preserve"> A existência de impedimento de ordem técnica deverá ser demonstrada em manifestação escrita, específica, motivada e instruída com os documentos pertinentes, vedada justificativa genérica.</w:t>
      </w:r>
    </w:p>
    <w:p w14:paraId="1EDB0040" w14:textId="77777777" w:rsidR="002C1322" w:rsidRDefault="00F54F80">
      <w:pPr>
        <w:spacing w:after="100"/>
        <w:jc w:val="both"/>
      </w:pPr>
      <w:r>
        <w:rPr>
          <w:b/>
        </w:rPr>
        <w:t>§ 1º</w:t>
      </w:r>
      <w:r>
        <w:t xml:space="preserve"> A manifestação indicará as medidas adotadas para superar o impedimento e se ele é sanável ou insuperável.</w:t>
      </w:r>
    </w:p>
    <w:p w14:paraId="52A5496A" w14:textId="77777777" w:rsidR="002C1322" w:rsidRDefault="00F54F80">
      <w:pPr>
        <w:spacing w:after="100"/>
        <w:jc w:val="both"/>
      </w:pPr>
      <w:r>
        <w:rPr>
          <w:b/>
        </w:rPr>
        <w:t>§ 2º</w:t>
      </w:r>
      <w:r>
        <w:t xml:space="preserve"> A comunicação ao Poder Legislativo observará o prazo e o procedimento do art. 63, § 13, da Lei Orgânica Municipal.</w:t>
      </w:r>
    </w:p>
    <w:p w14:paraId="29FE4582" w14:textId="77777777" w:rsidR="002C1322" w:rsidRDefault="00F54F80">
      <w:pPr>
        <w:spacing w:after="100"/>
        <w:jc w:val="both"/>
      </w:pPr>
      <w:r>
        <w:rPr>
          <w:b/>
        </w:rPr>
        <w:t>Art. 7º</w:t>
      </w:r>
      <w:r>
        <w:t xml:space="preserve"> A Procuradoria Municipal poderá ser consultada nos casos que envolvam dúvida jurídica relevante, sem que a remessa para análise seja utilizada, por si só, como justificativa para paralisação indefinida do processo.</w:t>
      </w:r>
    </w:p>
    <w:p w14:paraId="1ABD4DDE" w14:textId="77777777" w:rsidR="002C1322" w:rsidRDefault="00F54F80">
      <w:pPr>
        <w:spacing w:after="100"/>
        <w:jc w:val="both"/>
      </w:pPr>
      <w:r>
        <w:rPr>
          <w:b/>
        </w:rPr>
        <w:lastRenderedPageBreak/>
        <w:t>Art. 8º</w:t>
      </w:r>
      <w:r>
        <w:t xml:space="preserve"> A Unidade Central de Controle Interno acompanhará, por amostragem ou matriz de risco, a regularidade da execução, a tempestividade dos processos, a transparência e o tratamento equitativo das emendas.</w:t>
      </w:r>
    </w:p>
    <w:p w14:paraId="6B60F59E" w14:textId="77777777" w:rsidR="002C1322" w:rsidRDefault="00F54F80">
      <w:pPr>
        <w:spacing w:after="100"/>
        <w:jc w:val="both"/>
      </w:pPr>
      <w:r>
        <w:rPr>
          <w:b/>
        </w:rPr>
        <w:t>Art. 9º</w:t>
      </w:r>
      <w:r>
        <w:t xml:space="preserve"> Nas emendas destinadas a organizações da sociedade civil serão observadas a Lei Federal nº 13.019/2014, o plano de trabalho, os requisitos de habilitação, a formalização da parceria, o monitoramento e a prestação de contas.</w:t>
      </w:r>
    </w:p>
    <w:p w14:paraId="01BBA28B" w14:textId="77777777" w:rsidR="002C1322" w:rsidRDefault="00F54F80">
      <w:pPr>
        <w:spacing w:after="100"/>
        <w:jc w:val="both"/>
      </w:pPr>
      <w:r>
        <w:rPr>
          <w:b/>
        </w:rPr>
        <w:t>Art. 10</w:t>
      </w:r>
      <w:r>
        <w:t xml:space="preserve"> Nas aquisições, serviços, obras e demais contratações serão observadas a Lei Federal nº 14.133/2021 e as normas municipais pertinentes.</w:t>
      </w:r>
    </w:p>
    <w:p w14:paraId="16575097" w14:textId="77777777" w:rsidR="002C1322" w:rsidRDefault="00F54F80">
      <w:pPr>
        <w:spacing w:after="100"/>
        <w:jc w:val="both"/>
      </w:pPr>
      <w:r>
        <w:rPr>
          <w:b/>
        </w:rPr>
        <w:t>Art. 11</w:t>
      </w:r>
      <w:r>
        <w:t xml:space="preserve"> O Portal da Transparência disponibilizará dados suficientes para rastrear a execução de cada emenda, inclusive autoria, objeto, beneficiário, valor, processo, empenho, liquidação, pagamento, contratação/parceria, impedimento e resultado.</w:t>
      </w:r>
    </w:p>
    <w:p w14:paraId="2EBB7D23" w14:textId="77777777" w:rsidR="002C1322" w:rsidRDefault="00F54F80">
      <w:pPr>
        <w:spacing w:after="100"/>
        <w:jc w:val="both"/>
      </w:pPr>
      <w:r>
        <w:rPr>
          <w:b/>
        </w:rPr>
        <w:t>Art. 12</w:t>
      </w:r>
      <w:r>
        <w:t xml:space="preserve"> A unidade coordenadora elaborará relatório periódico da execução das emendas e encaminhará informações aos órgãos de controle e ao Poder Legislativo quando formalmente solicitadas.</w:t>
      </w:r>
    </w:p>
    <w:p w14:paraId="69BC6EBF" w14:textId="77777777" w:rsidR="002C1322" w:rsidRDefault="00F54F80">
      <w:pPr>
        <w:spacing w:after="100"/>
        <w:jc w:val="both"/>
      </w:pPr>
      <w:r>
        <w:rPr>
          <w:b/>
        </w:rPr>
        <w:t>Art. 13</w:t>
      </w:r>
      <w:r>
        <w:t xml:space="preserve"> A execução das emendas observará critérios impessoais e equitativos, vedada diferenciação motivada pela autoria parlamentar.</w:t>
      </w:r>
    </w:p>
    <w:p w14:paraId="7CF176B7" w14:textId="77777777" w:rsidR="002C1322" w:rsidRDefault="00F54F80">
      <w:pPr>
        <w:spacing w:after="100"/>
        <w:jc w:val="both"/>
      </w:pPr>
      <w:r>
        <w:rPr>
          <w:b/>
        </w:rPr>
        <w:t>Art. 14</w:t>
      </w:r>
      <w:r>
        <w:t xml:space="preserve"> Os responsáveis pelas unidades administrativas deverão adotar medidas de gestão destinadas a evitar perda de prazo, frustração do objeto e encerramento do exercício sem decisão formal sobre a emenda.</w:t>
      </w:r>
    </w:p>
    <w:p w14:paraId="102499FD" w14:textId="5C5C4666" w:rsidR="002C1322" w:rsidRDefault="00F54F80" w:rsidP="0094561C">
      <w:pPr>
        <w:spacing w:after="100"/>
        <w:jc w:val="both"/>
      </w:pPr>
      <w:r>
        <w:rPr>
          <w:b/>
        </w:rPr>
        <w:t>Art. 15</w:t>
      </w:r>
      <w:r>
        <w:t xml:space="preserve"> Este Decreto entra em vigor na data de sua publicação.</w:t>
      </w:r>
    </w:p>
    <w:sectPr w:rsidR="002C1322" w:rsidSect="00B31E2B">
      <w:pgSz w:w="11906" w:h="16838"/>
      <w:pgMar w:top="1417" w:right="1276" w:bottom="1417" w:left="1701" w:header="708" w:footer="708" w:gutter="0"/>
      <w:pgBorders w:offsetFrom="page">
        <w:top w:val="single" w:sz="36" w:space="24" w:color="1F497D" w:themeColor="text2" w:shadow="1"/>
        <w:left w:val="single" w:sz="36" w:space="24" w:color="1F497D" w:themeColor="text2" w:shadow="1"/>
        <w:bottom w:val="single" w:sz="36" w:space="24" w:color="1F497D" w:themeColor="text2" w:shadow="1"/>
        <w:right w:val="single" w:sz="36" w:space="24" w:color="1F497D" w:themeColor="text2"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3848"/>
    <w:multiLevelType w:val="multilevel"/>
    <w:tmpl w:val="B52C0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C6292"/>
    <w:multiLevelType w:val="multilevel"/>
    <w:tmpl w:val="8340AC9A"/>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 w15:restartNumberingAfterBreak="0">
    <w:nsid w:val="0DCE457B"/>
    <w:multiLevelType w:val="multilevel"/>
    <w:tmpl w:val="84205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7723BD"/>
    <w:multiLevelType w:val="multilevel"/>
    <w:tmpl w:val="8AD0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55A16"/>
    <w:multiLevelType w:val="multilevel"/>
    <w:tmpl w:val="99C4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82582"/>
    <w:multiLevelType w:val="multilevel"/>
    <w:tmpl w:val="3078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7E4A60"/>
    <w:multiLevelType w:val="multilevel"/>
    <w:tmpl w:val="3616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11C9A"/>
    <w:multiLevelType w:val="multilevel"/>
    <w:tmpl w:val="D812D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06648F"/>
    <w:multiLevelType w:val="multilevel"/>
    <w:tmpl w:val="FE40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C80CB4"/>
    <w:multiLevelType w:val="multilevel"/>
    <w:tmpl w:val="0E72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F07AC"/>
    <w:multiLevelType w:val="multilevel"/>
    <w:tmpl w:val="06009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704D4B"/>
    <w:multiLevelType w:val="hybridMultilevel"/>
    <w:tmpl w:val="0728D8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A70250A"/>
    <w:multiLevelType w:val="multilevel"/>
    <w:tmpl w:val="71649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EF0679"/>
    <w:multiLevelType w:val="hybridMultilevel"/>
    <w:tmpl w:val="FAE01B4C"/>
    <w:lvl w:ilvl="0" w:tplc="BAE80AF4">
      <w:start w:val="1"/>
      <w:numFmt w:val="upperRoman"/>
      <w:lvlText w:val="%1"/>
      <w:lvlJc w:val="left"/>
      <w:pPr>
        <w:ind w:left="946" w:hanging="137"/>
      </w:pPr>
      <w:rPr>
        <w:rFonts w:ascii="Times New Roman" w:eastAsia="Times New Roman" w:hAnsi="Times New Roman" w:cs="Times New Roman" w:hint="default"/>
        <w:w w:val="99"/>
        <w:sz w:val="24"/>
        <w:szCs w:val="24"/>
        <w:lang w:val="pt-PT" w:eastAsia="en-US" w:bidi="ar-SA"/>
      </w:rPr>
    </w:lvl>
    <w:lvl w:ilvl="1" w:tplc="A78E86A2">
      <w:numFmt w:val="bullet"/>
      <w:lvlText w:val="•"/>
      <w:lvlJc w:val="left"/>
      <w:pPr>
        <w:ind w:left="1802" w:hanging="137"/>
      </w:pPr>
      <w:rPr>
        <w:rFonts w:hint="default"/>
        <w:lang w:val="pt-PT" w:eastAsia="en-US" w:bidi="ar-SA"/>
      </w:rPr>
    </w:lvl>
    <w:lvl w:ilvl="2" w:tplc="9DCC48F0">
      <w:numFmt w:val="bullet"/>
      <w:lvlText w:val="•"/>
      <w:lvlJc w:val="left"/>
      <w:pPr>
        <w:ind w:left="2665" w:hanging="137"/>
      </w:pPr>
      <w:rPr>
        <w:rFonts w:hint="default"/>
        <w:lang w:val="pt-PT" w:eastAsia="en-US" w:bidi="ar-SA"/>
      </w:rPr>
    </w:lvl>
    <w:lvl w:ilvl="3" w:tplc="7E96D128">
      <w:numFmt w:val="bullet"/>
      <w:lvlText w:val="•"/>
      <w:lvlJc w:val="left"/>
      <w:pPr>
        <w:ind w:left="3527" w:hanging="137"/>
      </w:pPr>
      <w:rPr>
        <w:rFonts w:hint="default"/>
        <w:lang w:val="pt-PT" w:eastAsia="en-US" w:bidi="ar-SA"/>
      </w:rPr>
    </w:lvl>
    <w:lvl w:ilvl="4" w:tplc="91F6317C">
      <w:numFmt w:val="bullet"/>
      <w:lvlText w:val="•"/>
      <w:lvlJc w:val="left"/>
      <w:pPr>
        <w:ind w:left="4390" w:hanging="137"/>
      </w:pPr>
      <w:rPr>
        <w:rFonts w:hint="default"/>
        <w:lang w:val="pt-PT" w:eastAsia="en-US" w:bidi="ar-SA"/>
      </w:rPr>
    </w:lvl>
    <w:lvl w:ilvl="5" w:tplc="E1C61880">
      <w:numFmt w:val="bullet"/>
      <w:lvlText w:val="•"/>
      <w:lvlJc w:val="left"/>
      <w:pPr>
        <w:ind w:left="5253" w:hanging="137"/>
      </w:pPr>
      <w:rPr>
        <w:rFonts w:hint="default"/>
        <w:lang w:val="pt-PT" w:eastAsia="en-US" w:bidi="ar-SA"/>
      </w:rPr>
    </w:lvl>
    <w:lvl w:ilvl="6" w:tplc="24505D64">
      <w:numFmt w:val="bullet"/>
      <w:lvlText w:val="•"/>
      <w:lvlJc w:val="left"/>
      <w:pPr>
        <w:ind w:left="6115" w:hanging="137"/>
      </w:pPr>
      <w:rPr>
        <w:rFonts w:hint="default"/>
        <w:lang w:val="pt-PT" w:eastAsia="en-US" w:bidi="ar-SA"/>
      </w:rPr>
    </w:lvl>
    <w:lvl w:ilvl="7" w:tplc="4C663E6C">
      <w:numFmt w:val="bullet"/>
      <w:lvlText w:val="•"/>
      <w:lvlJc w:val="left"/>
      <w:pPr>
        <w:ind w:left="6978" w:hanging="137"/>
      </w:pPr>
      <w:rPr>
        <w:rFonts w:hint="default"/>
        <w:lang w:val="pt-PT" w:eastAsia="en-US" w:bidi="ar-SA"/>
      </w:rPr>
    </w:lvl>
    <w:lvl w:ilvl="8" w:tplc="2CDA2020">
      <w:numFmt w:val="bullet"/>
      <w:lvlText w:val="•"/>
      <w:lvlJc w:val="left"/>
      <w:pPr>
        <w:ind w:left="7841" w:hanging="137"/>
      </w:pPr>
      <w:rPr>
        <w:rFonts w:hint="default"/>
        <w:lang w:val="pt-PT" w:eastAsia="en-US" w:bidi="ar-SA"/>
      </w:rPr>
    </w:lvl>
  </w:abstractNum>
  <w:abstractNum w:abstractNumId="14" w15:restartNumberingAfterBreak="0">
    <w:nsid w:val="44146A5B"/>
    <w:multiLevelType w:val="multilevel"/>
    <w:tmpl w:val="0564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B62437"/>
    <w:multiLevelType w:val="multilevel"/>
    <w:tmpl w:val="3B90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224B4"/>
    <w:multiLevelType w:val="multilevel"/>
    <w:tmpl w:val="93DC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92370B"/>
    <w:multiLevelType w:val="multilevel"/>
    <w:tmpl w:val="C0B2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294348"/>
    <w:multiLevelType w:val="multilevel"/>
    <w:tmpl w:val="C01EE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4"/>
  </w:num>
  <w:num w:numId="3">
    <w:abstractNumId w:val="16"/>
  </w:num>
  <w:num w:numId="4">
    <w:abstractNumId w:val="3"/>
  </w:num>
  <w:num w:numId="5">
    <w:abstractNumId w:val="5"/>
  </w:num>
  <w:num w:numId="6">
    <w:abstractNumId w:val="14"/>
  </w:num>
  <w:num w:numId="7">
    <w:abstractNumId w:val="2"/>
  </w:num>
  <w:num w:numId="8">
    <w:abstractNumId w:val="12"/>
  </w:num>
  <w:num w:numId="9">
    <w:abstractNumId w:val="0"/>
  </w:num>
  <w:num w:numId="10">
    <w:abstractNumId w:val="18"/>
  </w:num>
  <w:num w:numId="11">
    <w:abstractNumId w:val="6"/>
  </w:num>
  <w:num w:numId="12">
    <w:abstractNumId w:val="8"/>
  </w:num>
  <w:num w:numId="13">
    <w:abstractNumId w:val="17"/>
  </w:num>
  <w:num w:numId="14">
    <w:abstractNumId w:val="11"/>
  </w:num>
  <w:num w:numId="15">
    <w:abstractNumId w:val="1"/>
  </w:num>
  <w:num w:numId="16">
    <w:abstractNumId w:val="15"/>
  </w:num>
  <w:num w:numId="17">
    <w:abstractNumId w:val="9"/>
  </w:num>
  <w:num w:numId="18">
    <w:abstractNumId w:val="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6FA"/>
    <w:rsid w:val="00021FBA"/>
    <w:rsid w:val="00032FD6"/>
    <w:rsid w:val="0004153E"/>
    <w:rsid w:val="00074C0B"/>
    <w:rsid w:val="0008042A"/>
    <w:rsid w:val="0008639F"/>
    <w:rsid w:val="000A5872"/>
    <w:rsid w:val="000F544B"/>
    <w:rsid w:val="00123641"/>
    <w:rsid w:val="0015297E"/>
    <w:rsid w:val="001639EB"/>
    <w:rsid w:val="00167401"/>
    <w:rsid w:val="00185398"/>
    <w:rsid w:val="001C2FC6"/>
    <w:rsid w:val="001F366F"/>
    <w:rsid w:val="00204933"/>
    <w:rsid w:val="00206C75"/>
    <w:rsid w:val="00212508"/>
    <w:rsid w:val="0021490B"/>
    <w:rsid w:val="00215A76"/>
    <w:rsid w:val="00226498"/>
    <w:rsid w:val="00234D0E"/>
    <w:rsid w:val="00271258"/>
    <w:rsid w:val="002915CF"/>
    <w:rsid w:val="00296A8D"/>
    <w:rsid w:val="002C1322"/>
    <w:rsid w:val="002D3069"/>
    <w:rsid w:val="002E2EEA"/>
    <w:rsid w:val="002F5CFA"/>
    <w:rsid w:val="00311C36"/>
    <w:rsid w:val="00322BCA"/>
    <w:rsid w:val="00395043"/>
    <w:rsid w:val="003A4A19"/>
    <w:rsid w:val="003A52A2"/>
    <w:rsid w:val="003A7620"/>
    <w:rsid w:val="003F4245"/>
    <w:rsid w:val="004222FB"/>
    <w:rsid w:val="0044317C"/>
    <w:rsid w:val="00452EDD"/>
    <w:rsid w:val="00492921"/>
    <w:rsid w:val="004D1990"/>
    <w:rsid w:val="004F3B0E"/>
    <w:rsid w:val="00512F16"/>
    <w:rsid w:val="00516760"/>
    <w:rsid w:val="0053185A"/>
    <w:rsid w:val="005637E7"/>
    <w:rsid w:val="00574084"/>
    <w:rsid w:val="0058024B"/>
    <w:rsid w:val="005956E5"/>
    <w:rsid w:val="005C7DCF"/>
    <w:rsid w:val="005F4A52"/>
    <w:rsid w:val="006414E7"/>
    <w:rsid w:val="00671EB0"/>
    <w:rsid w:val="006828B8"/>
    <w:rsid w:val="006865A0"/>
    <w:rsid w:val="00691297"/>
    <w:rsid w:val="006B1D06"/>
    <w:rsid w:val="006D0AEF"/>
    <w:rsid w:val="006E4E10"/>
    <w:rsid w:val="007021A8"/>
    <w:rsid w:val="00706403"/>
    <w:rsid w:val="007636B5"/>
    <w:rsid w:val="0079131F"/>
    <w:rsid w:val="007A7596"/>
    <w:rsid w:val="007C4B9A"/>
    <w:rsid w:val="00841813"/>
    <w:rsid w:val="00862526"/>
    <w:rsid w:val="0087274F"/>
    <w:rsid w:val="008A1508"/>
    <w:rsid w:val="008C130F"/>
    <w:rsid w:val="008C67C7"/>
    <w:rsid w:val="008E1B0B"/>
    <w:rsid w:val="009127D1"/>
    <w:rsid w:val="009127DA"/>
    <w:rsid w:val="0092379E"/>
    <w:rsid w:val="00925FF7"/>
    <w:rsid w:val="00932045"/>
    <w:rsid w:val="0094561C"/>
    <w:rsid w:val="00951728"/>
    <w:rsid w:val="009C5098"/>
    <w:rsid w:val="009E4E2C"/>
    <w:rsid w:val="00A00519"/>
    <w:rsid w:val="00A03C79"/>
    <w:rsid w:val="00A10944"/>
    <w:rsid w:val="00A24930"/>
    <w:rsid w:val="00A24D80"/>
    <w:rsid w:val="00A256D6"/>
    <w:rsid w:val="00A63208"/>
    <w:rsid w:val="00A6446C"/>
    <w:rsid w:val="00A87F44"/>
    <w:rsid w:val="00AD36A4"/>
    <w:rsid w:val="00B0041A"/>
    <w:rsid w:val="00B0482D"/>
    <w:rsid w:val="00B31E2B"/>
    <w:rsid w:val="00BC0B28"/>
    <w:rsid w:val="00BC0C12"/>
    <w:rsid w:val="00C00AE2"/>
    <w:rsid w:val="00C04120"/>
    <w:rsid w:val="00C15D10"/>
    <w:rsid w:val="00C310D9"/>
    <w:rsid w:val="00C56EF2"/>
    <w:rsid w:val="00CA1E56"/>
    <w:rsid w:val="00CD6372"/>
    <w:rsid w:val="00D666FA"/>
    <w:rsid w:val="00DB71F0"/>
    <w:rsid w:val="00DC0361"/>
    <w:rsid w:val="00DD5C92"/>
    <w:rsid w:val="00DD6755"/>
    <w:rsid w:val="00E00F6E"/>
    <w:rsid w:val="00E0654C"/>
    <w:rsid w:val="00E10CF5"/>
    <w:rsid w:val="00E21BDF"/>
    <w:rsid w:val="00E547BB"/>
    <w:rsid w:val="00E66E4C"/>
    <w:rsid w:val="00EF4B34"/>
    <w:rsid w:val="00F12626"/>
    <w:rsid w:val="00F54F80"/>
    <w:rsid w:val="00F63A15"/>
    <w:rsid w:val="00FB49F5"/>
    <w:rsid w:val="00FD4A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BA46DE"/>
  <w15:docId w15:val="{912538A4-4EDE-4DC9-8EA8-593BEC7B1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sz w:val="24"/>
    </w:rPr>
  </w:style>
  <w:style w:type="paragraph" w:styleId="Ttulo1">
    <w:name w:val="heading 1"/>
    <w:basedOn w:val="Normal"/>
    <w:next w:val="Normal"/>
    <w:link w:val="Ttulo1Char"/>
    <w:uiPriority w:val="9"/>
    <w:qFormat/>
    <w:rsid w:val="00A03C79"/>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Ttulo3">
    <w:name w:val="heading 3"/>
    <w:basedOn w:val="Normal"/>
    <w:next w:val="Normal"/>
    <w:link w:val="Ttulo3Char"/>
    <w:uiPriority w:val="9"/>
    <w:semiHidden/>
    <w:unhideWhenUsed/>
    <w:qFormat/>
    <w:rsid w:val="0021490B"/>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D666FA"/>
    <w:rPr>
      <w:color w:val="0000FF"/>
      <w:u w:val="single"/>
    </w:rPr>
  </w:style>
  <w:style w:type="paragraph" w:styleId="Corpodetexto">
    <w:name w:val="Body Text"/>
    <w:basedOn w:val="Normal"/>
    <w:link w:val="CorpodetextoChar"/>
    <w:uiPriority w:val="1"/>
    <w:qFormat/>
    <w:rsid w:val="00516760"/>
    <w:pPr>
      <w:widowControl w:val="0"/>
      <w:autoSpaceDE w:val="0"/>
      <w:autoSpaceDN w:val="0"/>
      <w:spacing w:after="0" w:line="240" w:lineRule="auto"/>
    </w:pPr>
    <w:rPr>
      <w:rFonts w:ascii="Times New Roman" w:eastAsia="Times New Roman" w:hAnsi="Times New Roman" w:cs="Times New Roman"/>
      <w:szCs w:val="24"/>
      <w:lang w:val="pt-PT"/>
    </w:rPr>
  </w:style>
  <w:style w:type="character" w:customStyle="1" w:styleId="CorpodetextoChar">
    <w:name w:val="Corpo de texto Char"/>
    <w:basedOn w:val="Fontepargpadro"/>
    <w:link w:val="Corpodetexto"/>
    <w:uiPriority w:val="1"/>
    <w:rsid w:val="00516760"/>
    <w:rPr>
      <w:rFonts w:ascii="Times New Roman" w:eastAsia="Times New Roman" w:hAnsi="Times New Roman" w:cs="Times New Roman"/>
      <w:sz w:val="24"/>
      <w:szCs w:val="24"/>
      <w:lang w:val="pt-PT"/>
    </w:rPr>
  </w:style>
  <w:style w:type="paragraph" w:styleId="PargrafodaLista">
    <w:name w:val="List Paragraph"/>
    <w:basedOn w:val="Normal"/>
    <w:uiPriority w:val="1"/>
    <w:qFormat/>
    <w:rsid w:val="00516760"/>
    <w:pPr>
      <w:widowControl w:val="0"/>
      <w:autoSpaceDE w:val="0"/>
      <w:autoSpaceDN w:val="0"/>
      <w:spacing w:after="0" w:line="240" w:lineRule="auto"/>
      <w:ind w:left="102" w:firstLine="707"/>
      <w:jc w:val="both"/>
    </w:pPr>
    <w:rPr>
      <w:rFonts w:ascii="Times New Roman" w:eastAsia="Times New Roman" w:hAnsi="Times New Roman" w:cs="Times New Roman"/>
      <w:lang w:val="pt-PT"/>
    </w:rPr>
  </w:style>
  <w:style w:type="paragraph" w:styleId="Textodebalo">
    <w:name w:val="Balloon Text"/>
    <w:basedOn w:val="Normal"/>
    <w:link w:val="TextodebaloChar"/>
    <w:uiPriority w:val="99"/>
    <w:semiHidden/>
    <w:unhideWhenUsed/>
    <w:rsid w:val="007C4B9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C4B9A"/>
    <w:rPr>
      <w:rFonts w:ascii="Segoe UI" w:hAnsi="Segoe UI" w:cs="Segoe UI"/>
      <w:sz w:val="18"/>
      <w:szCs w:val="18"/>
    </w:rPr>
  </w:style>
  <w:style w:type="character" w:customStyle="1" w:styleId="Ttulo1Char">
    <w:name w:val="Título 1 Char"/>
    <w:basedOn w:val="Fontepargpadro"/>
    <w:link w:val="Ttulo1"/>
    <w:uiPriority w:val="9"/>
    <w:rsid w:val="00A03C79"/>
    <w:rPr>
      <w:rFonts w:asciiTheme="majorHAnsi" w:eastAsiaTheme="majorEastAsia" w:hAnsiTheme="majorHAnsi" w:cstheme="majorBidi"/>
      <w:b/>
      <w:bCs/>
      <w:color w:val="365F91" w:themeColor="accent1" w:themeShade="BF"/>
      <w:sz w:val="28"/>
      <w:szCs w:val="28"/>
      <w:lang w:val="en-US"/>
    </w:rPr>
  </w:style>
  <w:style w:type="character" w:customStyle="1" w:styleId="UnresolvedMention">
    <w:name w:val="Unresolved Mention"/>
    <w:basedOn w:val="Fontepargpadro"/>
    <w:uiPriority w:val="99"/>
    <w:semiHidden/>
    <w:unhideWhenUsed/>
    <w:rsid w:val="0004153E"/>
    <w:rPr>
      <w:color w:val="605E5C"/>
      <w:shd w:val="clear" w:color="auto" w:fill="E1DFDD"/>
    </w:rPr>
  </w:style>
  <w:style w:type="character" w:customStyle="1" w:styleId="Ttulo3Char">
    <w:name w:val="Título 3 Char"/>
    <w:basedOn w:val="Fontepargpadro"/>
    <w:link w:val="Ttulo3"/>
    <w:uiPriority w:val="9"/>
    <w:semiHidden/>
    <w:rsid w:val="0021490B"/>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21490B"/>
    <w:rPr>
      <w:rFonts w:ascii="Times New Roman" w:hAnsi="Times New Roman" w:cs="Times New Roman"/>
      <w:szCs w:val="24"/>
    </w:rPr>
  </w:style>
  <w:style w:type="character" w:styleId="Forte">
    <w:name w:val="Strong"/>
    <w:uiPriority w:val="22"/>
    <w:qFormat/>
    <w:rsid w:val="001236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99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50D71-5A11-4AD3-9BD0-432789CFD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4225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dc:creator>
  <cp:lastModifiedBy>Camara</cp:lastModifiedBy>
  <cp:revision>3</cp:revision>
  <cp:lastPrinted>2026-02-12T01:50:00Z</cp:lastPrinted>
  <dcterms:created xsi:type="dcterms:W3CDTF">2026-09-04T15:10:00Z</dcterms:created>
  <dcterms:modified xsi:type="dcterms:W3CDTF">2026-09-04T15:10:00Z</dcterms:modified>
</cp:coreProperties>
</file>